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3F" w:rsidRPr="004D522B" w:rsidRDefault="0046603F" w:rsidP="007A1FC8">
      <w:pPr>
        <w:keepNext/>
        <w:spacing w:line="360" w:lineRule="auto"/>
        <w:jc w:val="right"/>
        <w:outlineLvl w:val="0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  <w:r w:rsidRPr="004D522B">
        <w:rPr>
          <w:rFonts w:ascii="Arial" w:hAnsi="Arial" w:cs="Arial"/>
          <w:b/>
          <w:bCs/>
          <w:sz w:val="10"/>
          <w:szCs w:val="10"/>
        </w:rPr>
        <w:tab/>
      </w:r>
    </w:p>
    <w:p w:rsidR="0046603F" w:rsidRDefault="0046603F" w:rsidP="007A1F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46603F" w:rsidRPr="004D522B" w:rsidRDefault="0046603F" w:rsidP="007A1FC8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4D522B">
        <w:rPr>
          <w:rFonts w:ascii="Arial" w:hAnsi="Arial" w:cs="Arial"/>
          <w:b/>
          <w:bCs/>
        </w:rPr>
        <w:t xml:space="preserve">PRESS RELEASE </w:t>
      </w:r>
      <w:r w:rsidRPr="004D522B">
        <w:rPr>
          <w:rFonts w:ascii="Arial" w:hAnsi="Arial" w:cs="Arial"/>
          <w:b/>
          <w:bCs/>
        </w:rPr>
        <w:tab/>
      </w:r>
      <w:r w:rsidRPr="004D522B">
        <w:rPr>
          <w:rFonts w:ascii="Arial" w:hAnsi="Arial" w:cs="Arial"/>
          <w:b/>
          <w:bCs/>
        </w:rPr>
        <w:tab/>
      </w:r>
      <w:r w:rsidRPr="004D522B">
        <w:rPr>
          <w:rFonts w:ascii="Arial" w:hAnsi="Arial" w:cs="Arial"/>
          <w:b/>
          <w:bCs/>
        </w:rPr>
        <w:tab/>
      </w:r>
      <w:r w:rsidRPr="004D522B">
        <w:rPr>
          <w:rFonts w:ascii="Arial" w:hAnsi="Arial" w:cs="Arial"/>
          <w:b/>
          <w:bCs/>
        </w:rPr>
        <w:tab/>
        <w:t xml:space="preserve">                       For Immediate Release</w:t>
      </w:r>
    </w:p>
    <w:p w:rsidR="0046603F" w:rsidRPr="004D522B" w:rsidRDefault="0046603F" w:rsidP="007A1FC8">
      <w:pPr>
        <w:rPr>
          <w:rFonts w:ascii="Arial" w:hAnsi="Arial" w:cs="Arial"/>
          <w:sz w:val="20"/>
          <w:szCs w:val="20"/>
        </w:rPr>
      </w:pPr>
    </w:p>
    <w:p w:rsidR="0046603F" w:rsidRPr="004D522B" w:rsidRDefault="0046603F" w:rsidP="007A1FC8">
      <w:pPr>
        <w:rPr>
          <w:rFonts w:ascii="Arial" w:hAnsi="Arial" w:cs="Arial"/>
          <w:sz w:val="20"/>
          <w:szCs w:val="20"/>
        </w:rPr>
      </w:pPr>
    </w:p>
    <w:p w:rsidR="0046603F" w:rsidRDefault="0046603F" w:rsidP="007A1FC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D522B">
        <w:rPr>
          <w:rFonts w:ascii="Arial" w:hAnsi="Arial" w:cs="Arial"/>
          <w:b/>
          <w:bCs/>
          <w:color w:val="000000"/>
        </w:rPr>
        <w:t xml:space="preserve">DRB-HICOM BERHAD RECORDS </w:t>
      </w:r>
      <w:r w:rsidRPr="009550F1">
        <w:rPr>
          <w:rFonts w:ascii="Arial" w:hAnsi="Arial" w:cs="Arial"/>
          <w:b/>
          <w:bCs/>
          <w:color w:val="000000"/>
        </w:rPr>
        <w:t>A 91% INCREASE</w:t>
      </w:r>
      <w:r w:rsidRPr="006945D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IN REVENUE TO </w:t>
      </w:r>
      <w:r w:rsidRPr="004D522B">
        <w:rPr>
          <w:rFonts w:ascii="Arial" w:hAnsi="Arial" w:cs="Arial"/>
          <w:b/>
          <w:bCs/>
          <w:color w:val="000000"/>
        </w:rPr>
        <w:t xml:space="preserve">RM13.13 </w:t>
      </w:r>
      <w:r>
        <w:rPr>
          <w:rFonts w:ascii="Arial" w:hAnsi="Arial" w:cs="Arial"/>
          <w:b/>
          <w:bCs/>
          <w:color w:val="000000"/>
        </w:rPr>
        <w:t xml:space="preserve">BILLION </w:t>
      </w:r>
      <w:r w:rsidRPr="004D522B">
        <w:rPr>
          <w:rFonts w:ascii="Arial" w:hAnsi="Arial" w:cs="Arial"/>
          <w:b/>
          <w:bCs/>
          <w:color w:val="000000"/>
        </w:rPr>
        <w:t xml:space="preserve">FOR FY </w:t>
      </w:r>
      <w:r>
        <w:rPr>
          <w:rFonts w:ascii="Arial" w:hAnsi="Arial" w:cs="Arial"/>
          <w:b/>
          <w:bCs/>
          <w:color w:val="000000"/>
        </w:rPr>
        <w:t>ENDED 31 MARCH 2</w:t>
      </w:r>
      <w:r w:rsidRPr="004D522B">
        <w:rPr>
          <w:rFonts w:ascii="Arial" w:hAnsi="Arial" w:cs="Arial"/>
          <w:b/>
          <w:bCs/>
          <w:color w:val="000000"/>
        </w:rPr>
        <w:t xml:space="preserve">013 </w:t>
      </w:r>
    </w:p>
    <w:p w:rsidR="0046603F" w:rsidRPr="004D522B" w:rsidRDefault="0046603F" w:rsidP="007A1FC8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4D522B">
        <w:rPr>
          <w:rFonts w:ascii="Arial" w:hAnsi="Arial" w:cs="Arial"/>
          <w:b/>
          <w:bCs/>
          <w:color w:val="000000"/>
        </w:rPr>
        <w:t>________________________________________________________________</w:t>
      </w:r>
    </w:p>
    <w:p w:rsidR="0046603F" w:rsidRPr="004D522B" w:rsidRDefault="0046603F" w:rsidP="007A1FC8">
      <w:pPr>
        <w:jc w:val="both"/>
        <w:rPr>
          <w:rFonts w:ascii="Arial" w:hAnsi="Arial" w:cs="Arial"/>
          <w:color w:val="FF0000"/>
        </w:rPr>
      </w:pPr>
    </w:p>
    <w:p w:rsidR="0046603F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  <w:r w:rsidRPr="004D522B">
        <w:rPr>
          <w:rFonts w:ascii="Arial" w:hAnsi="Arial" w:cs="Arial"/>
          <w:b/>
          <w:color w:val="000000"/>
        </w:rPr>
        <w:t>Shah Alam</w:t>
      </w:r>
      <w:r w:rsidRPr="004D522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Thursday</w:t>
      </w:r>
      <w:r w:rsidRPr="004D522B">
        <w:rPr>
          <w:rFonts w:ascii="Arial" w:hAnsi="Arial" w:cs="Arial"/>
          <w:b/>
          <w:color w:val="000000"/>
        </w:rPr>
        <w:t>, 30 May 2013</w:t>
      </w:r>
      <w:r w:rsidRPr="004D522B">
        <w:rPr>
          <w:rFonts w:ascii="Arial" w:hAnsi="Arial" w:cs="Arial"/>
          <w:b/>
          <w:bCs/>
          <w:color w:val="000000"/>
        </w:rPr>
        <w:t xml:space="preserve"> </w:t>
      </w:r>
      <w:r w:rsidRPr="004D522B">
        <w:rPr>
          <w:rFonts w:ascii="Arial" w:hAnsi="Arial" w:cs="Arial"/>
        </w:rPr>
        <w:t>–</w:t>
      </w:r>
      <w:r w:rsidRPr="004D522B">
        <w:rPr>
          <w:rFonts w:ascii="Arial" w:hAnsi="Arial" w:cs="Arial"/>
          <w:color w:val="FF0000"/>
        </w:rPr>
        <w:t xml:space="preserve"> </w:t>
      </w:r>
      <w:r w:rsidRPr="004D522B">
        <w:rPr>
          <w:rFonts w:ascii="Arial" w:hAnsi="Arial" w:cs="Arial"/>
          <w:color w:val="000000"/>
        </w:rPr>
        <w:t>DRB-HICOM Berhad (“DRB-HICOM” or “the Group”) today announced its 12</w:t>
      </w:r>
      <w:r>
        <w:rPr>
          <w:rFonts w:ascii="Arial" w:hAnsi="Arial" w:cs="Arial"/>
          <w:color w:val="000000"/>
        </w:rPr>
        <w:t>-</w:t>
      </w:r>
      <w:r w:rsidRPr="004D522B">
        <w:rPr>
          <w:rFonts w:ascii="Arial" w:hAnsi="Arial" w:cs="Arial"/>
          <w:color w:val="000000"/>
        </w:rPr>
        <w:t xml:space="preserve">month performance for the financial year ended 31 March 2013, registering Group revenue of RM13.13 billion as compared to RM6.88 billion in the previous financial year. The significant 91% increase </w:t>
      </w:r>
      <w:r w:rsidRPr="009550F1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>refer to</w:t>
      </w:r>
      <w:r w:rsidRPr="009550F1">
        <w:rPr>
          <w:rFonts w:ascii="Arial" w:hAnsi="Arial" w:cs="Arial"/>
          <w:i/>
          <w:color w:val="000000"/>
        </w:rPr>
        <w:t xml:space="preserve"> table below)</w:t>
      </w:r>
      <w:r>
        <w:rPr>
          <w:rFonts w:ascii="Arial" w:hAnsi="Arial" w:cs="Arial"/>
          <w:i/>
          <w:color w:val="000000"/>
        </w:rPr>
        <w:t xml:space="preserve"> </w:t>
      </w:r>
      <w:r w:rsidRPr="004D522B">
        <w:rPr>
          <w:rFonts w:ascii="Arial" w:hAnsi="Arial" w:cs="Arial"/>
          <w:color w:val="000000"/>
        </w:rPr>
        <w:t xml:space="preserve">is attributed mainly </w:t>
      </w:r>
      <w:r>
        <w:rPr>
          <w:rFonts w:ascii="Arial" w:hAnsi="Arial" w:cs="Arial"/>
          <w:color w:val="000000"/>
        </w:rPr>
        <w:t>to the A</w:t>
      </w:r>
      <w:r w:rsidRPr="004D522B">
        <w:rPr>
          <w:rFonts w:ascii="Arial" w:hAnsi="Arial" w:cs="Arial"/>
          <w:color w:val="000000"/>
        </w:rPr>
        <w:t>utomotive sector, principally due to the r</w:t>
      </w:r>
      <w:r>
        <w:rPr>
          <w:rFonts w:ascii="Arial" w:hAnsi="Arial" w:cs="Arial"/>
          <w:color w:val="000000"/>
        </w:rPr>
        <w:t>ecog</w:t>
      </w:r>
      <w:r w:rsidRPr="004D522B">
        <w:rPr>
          <w:rFonts w:ascii="Arial" w:hAnsi="Arial" w:cs="Arial"/>
          <w:color w:val="000000"/>
        </w:rPr>
        <w:t>nition of PROTON Holdings Berhad’s (“PROTON</w:t>
      </w:r>
      <w:r>
        <w:rPr>
          <w:rFonts w:ascii="Arial" w:hAnsi="Arial" w:cs="Arial"/>
          <w:color w:val="000000"/>
        </w:rPr>
        <w:t>”</w:t>
      </w:r>
      <w:r w:rsidRPr="004D522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050EC1">
        <w:rPr>
          <w:rFonts w:ascii="Arial" w:hAnsi="Arial" w:cs="Arial"/>
          <w:color w:val="000000"/>
        </w:rPr>
        <w:t>revenue</w:t>
      </w:r>
      <w:r>
        <w:rPr>
          <w:rFonts w:ascii="Arial" w:hAnsi="Arial" w:cs="Arial"/>
          <w:color w:val="000000"/>
        </w:rPr>
        <w:t>.</w:t>
      </w:r>
      <w:r w:rsidRPr="006945DC">
        <w:rPr>
          <w:rFonts w:ascii="Arial" w:hAnsi="Arial" w:cs="Arial"/>
          <w:color w:val="000000"/>
        </w:rPr>
        <w:t xml:space="preserve"> </w:t>
      </w:r>
      <w:r w:rsidRPr="004D522B">
        <w:rPr>
          <w:rFonts w:ascii="Arial" w:hAnsi="Arial" w:cs="Arial"/>
          <w:color w:val="000000"/>
        </w:rPr>
        <w:t xml:space="preserve">In addition, the Group’s </w:t>
      </w:r>
      <w:r>
        <w:rPr>
          <w:rFonts w:ascii="Arial" w:hAnsi="Arial" w:cs="Arial"/>
          <w:color w:val="000000"/>
        </w:rPr>
        <w:t>P</w:t>
      </w:r>
      <w:r w:rsidRPr="004D522B">
        <w:rPr>
          <w:rFonts w:ascii="Arial" w:hAnsi="Arial" w:cs="Arial"/>
          <w:color w:val="000000"/>
        </w:rPr>
        <w:t>roperty</w:t>
      </w:r>
      <w:r>
        <w:rPr>
          <w:rFonts w:ascii="Arial" w:hAnsi="Arial" w:cs="Arial"/>
          <w:color w:val="000000"/>
        </w:rPr>
        <w:t>, Asset</w:t>
      </w:r>
      <w:r w:rsidRPr="004D52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Construction (“PAC”), and S</w:t>
      </w:r>
      <w:r w:rsidRPr="004D522B">
        <w:rPr>
          <w:rFonts w:ascii="Arial" w:hAnsi="Arial" w:cs="Arial"/>
          <w:color w:val="000000"/>
        </w:rPr>
        <w:t>ervices sectors reported improved revenue.</w:t>
      </w:r>
    </w:p>
    <w:p w:rsidR="0046603F" w:rsidRPr="004D522B" w:rsidRDefault="0046603F" w:rsidP="007A1FC8">
      <w:pPr>
        <w:tabs>
          <w:tab w:val="left" w:pos="3045"/>
        </w:tabs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</w:p>
    <w:p w:rsidR="0046603F" w:rsidRPr="009550F1" w:rsidRDefault="0046603F" w:rsidP="007A1FC8">
      <w:pPr>
        <w:spacing w:line="480" w:lineRule="auto"/>
        <w:jc w:val="both"/>
        <w:rPr>
          <w:rFonts w:ascii="Arial" w:hAnsi="Arial" w:cs="Arial"/>
          <w:i/>
          <w:color w:val="000000"/>
        </w:rPr>
      </w:pPr>
      <w:r w:rsidRPr="004D522B">
        <w:rPr>
          <w:rFonts w:ascii="Arial" w:hAnsi="Arial" w:cs="Arial"/>
          <w:color w:val="000000"/>
        </w:rPr>
        <w:t xml:space="preserve"> </w:t>
      </w:r>
      <w:r w:rsidRPr="009550F1">
        <w:rPr>
          <w:rFonts w:ascii="Arial" w:hAnsi="Arial" w:cs="Arial"/>
          <w:i/>
          <w:color w:val="000000"/>
        </w:rPr>
        <w:t>Table: Key Highlights of the Group’s Financial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1074"/>
        <w:gridCol w:w="1071"/>
        <w:gridCol w:w="1134"/>
        <w:gridCol w:w="1262"/>
        <w:gridCol w:w="1538"/>
        <w:gridCol w:w="1178"/>
      </w:tblGrid>
      <w:tr w:rsidR="0046603F" w:rsidRPr="009550F1" w:rsidTr="00235F6B">
        <w:trPr>
          <w:trHeight w:val="890"/>
        </w:trPr>
        <w:tc>
          <w:tcPr>
            <w:tcW w:w="165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Quarter</w:t>
            </w:r>
          </w:p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(Million)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Variance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 to Date</w:t>
            </w:r>
          </w:p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(Million)</w:t>
            </w: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Variance</w:t>
            </w:r>
          </w:p>
        </w:tc>
      </w:tr>
      <w:tr w:rsidR="0046603F" w:rsidRPr="009550F1" w:rsidTr="00235F6B">
        <w:tc>
          <w:tcPr>
            <w:tcW w:w="1653" w:type="dxa"/>
            <w:vMerge/>
            <w:tcBorders>
              <w:lef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31/3/13</w:t>
            </w:r>
          </w:p>
        </w:tc>
        <w:tc>
          <w:tcPr>
            <w:tcW w:w="1097" w:type="dxa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31/3/12</w:t>
            </w:r>
          </w:p>
        </w:tc>
        <w:tc>
          <w:tcPr>
            <w:tcW w:w="847" w:type="dxa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31/3/13</w:t>
            </w:r>
          </w:p>
        </w:tc>
        <w:tc>
          <w:tcPr>
            <w:tcW w:w="1667" w:type="dxa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31/3/12</w:t>
            </w: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603F" w:rsidRPr="009550F1" w:rsidTr="00235F6B">
        <w:tc>
          <w:tcPr>
            <w:tcW w:w="1653" w:type="dxa"/>
            <w:tcBorders>
              <w:left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Revenue</w:t>
            </w: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3,361.0</w:t>
            </w: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2,124.2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+58%</w:t>
            </w:r>
          </w:p>
        </w:tc>
        <w:tc>
          <w:tcPr>
            <w:tcW w:w="1303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13,134.7</w:t>
            </w: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6,878.2</w:t>
            </w:r>
          </w:p>
        </w:tc>
        <w:tc>
          <w:tcPr>
            <w:tcW w:w="1188" w:type="dxa"/>
            <w:tcBorders>
              <w:bottom w:val="single" w:sz="18" w:space="0" w:color="auto"/>
              <w:righ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+91%</w:t>
            </w:r>
          </w:p>
        </w:tc>
      </w:tr>
      <w:tr w:rsidR="0046603F" w:rsidRPr="009550F1" w:rsidTr="00235F6B">
        <w:tc>
          <w:tcPr>
            <w:tcW w:w="16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Operating Profit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314.2</w:t>
            </w:r>
          </w:p>
        </w:tc>
        <w:tc>
          <w:tcPr>
            <w:tcW w:w="1097" w:type="dxa"/>
            <w:tcBorders>
              <w:top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117.9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+166%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624.8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543.4</w:t>
            </w: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+15%</w:t>
            </w:r>
          </w:p>
        </w:tc>
      </w:tr>
      <w:tr w:rsidR="0046603F" w:rsidRPr="009550F1" w:rsidTr="00235F6B">
        <w:tc>
          <w:tcPr>
            <w:tcW w:w="1653" w:type="dxa"/>
            <w:tcBorders>
              <w:left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Exceptional Items</w:t>
            </w: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1,278</w:t>
            </w:r>
            <w:r w:rsidRPr="00235F6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412.6</w:t>
            </w:r>
            <w:r w:rsidRPr="00235F6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1,278</w:t>
            </w:r>
            <w:r w:rsidRPr="00235F6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8" w:type="dxa"/>
            <w:tcBorders>
              <w:bottom w:val="single" w:sz="18" w:space="0" w:color="auto"/>
              <w:righ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03F" w:rsidRPr="009550F1" w:rsidTr="00235F6B"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Profit Before Tax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314.2</w:t>
            </w:r>
          </w:p>
        </w:tc>
        <w:tc>
          <w:tcPr>
            <w:tcW w:w="1097" w:type="dxa"/>
            <w:tcBorders>
              <w:top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1,395.9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1,037.4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F6B">
              <w:rPr>
                <w:rFonts w:ascii="Arial" w:hAnsi="Arial" w:cs="Arial"/>
                <w:color w:val="000000"/>
                <w:sz w:val="22"/>
                <w:szCs w:val="22"/>
              </w:rPr>
              <w:t>1,821.4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03F" w:rsidRPr="00235F6B" w:rsidRDefault="0046603F" w:rsidP="00235F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6603F" w:rsidRPr="009550F1" w:rsidRDefault="0046603F" w:rsidP="007A1FC8">
      <w:pPr>
        <w:jc w:val="both"/>
        <w:rPr>
          <w:rFonts w:ascii="Arial" w:hAnsi="Arial" w:cs="Arial"/>
          <w:color w:val="000000"/>
          <w:sz w:val="18"/>
          <w:szCs w:val="16"/>
        </w:rPr>
      </w:pPr>
      <w:r w:rsidRPr="009550F1">
        <w:rPr>
          <w:rFonts w:ascii="Arial" w:hAnsi="Arial" w:cs="Arial"/>
          <w:color w:val="000000"/>
          <w:sz w:val="18"/>
          <w:szCs w:val="16"/>
        </w:rPr>
        <w:t xml:space="preserve">Note: </w:t>
      </w:r>
      <w:r w:rsidRPr="009550F1">
        <w:rPr>
          <w:rFonts w:ascii="Arial" w:hAnsi="Arial" w:cs="Arial"/>
          <w:color w:val="000000"/>
          <w:sz w:val="18"/>
          <w:szCs w:val="16"/>
        </w:rPr>
        <w:tab/>
      </w:r>
      <w:r w:rsidRPr="009550F1">
        <w:rPr>
          <w:rFonts w:ascii="Arial" w:hAnsi="Arial" w:cs="Arial"/>
          <w:color w:val="000000"/>
          <w:sz w:val="18"/>
          <w:szCs w:val="16"/>
          <w:vertAlign w:val="superscript"/>
        </w:rPr>
        <w:t>1</w:t>
      </w:r>
      <w:r w:rsidRPr="009550F1">
        <w:rPr>
          <w:rFonts w:ascii="Arial" w:hAnsi="Arial" w:cs="Arial"/>
          <w:color w:val="000000"/>
          <w:sz w:val="18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6"/>
        </w:rPr>
        <w:t>N</w:t>
      </w:r>
      <w:r w:rsidRPr="009550F1">
        <w:rPr>
          <w:rFonts w:ascii="Arial" w:hAnsi="Arial" w:cs="Arial"/>
          <w:color w:val="000000"/>
          <w:sz w:val="18"/>
          <w:szCs w:val="16"/>
        </w:rPr>
        <w:t>egative goodwill</w:t>
      </w:r>
      <w:r>
        <w:rPr>
          <w:rFonts w:ascii="Arial" w:hAnsi="Arial" w:cs="Arial"/>
          <w:color w:val="000000"/>
          <w:sz w:val="18"/>
          <w:szCs w:val="16"/>
        </w:rPr>
        <w:t xml:space="preserve"> on acquisition  of Proton.</w:t>
      </w:r>
    </w:p>
    <w:p w:rsidR="0046603F" w:rsidRPr="009550F1" w:rsidRDefault="0046603F" w:rsidP="007A1FC8">
      <w:pPr>
        <w:ind w:firstLine="720"/>
        <w:jc w:val="both"/>
        <w:rPr>
          <w:rFonts w:ascii="Arial" w:hAnsi="Arial" w:cs="Arial"/>
          <w:color w:val="000000"/>
          <w:sz w:val="18"/>
          <w:szCs w:val="16"/>
        </w:rPr>
      </w:pPr>
      <w:r w:rsidRPr="009550F1">
        <w:rPr>
          <w:rFonts w:ascii="Arial" w:hAnsi="Arial" w:cs="Arial"/>
          <w:color w:val="000000"/>
          <w:sz w:val="18"/>
          <w:szCs w:val="16"/>
          <w:vertAlign w:val="superscript"/>
        </w:rPr>
        <w:t>2</w:t>
      </w:r>
      <w:r w:rsidRPr="009550F1">
        <w:rPr>
          <w:rFonts w:ascii="Arial" w:hAnsi="Arial" w:cs="Arial"/>
          <w:color w:val="000000"/>
          <w:sz w:val="18"/>
          <w:szCs w:val="16"/>
        </w:rPr>
        <w:t xml:space="preserve"> Gain on disposal of HICOM Power Sdn Bhd</w:t>
      </w:r>
      <w:r>
        <w:rPr>
          <w:rFonts w:ascii="Arial" w:hAnsi="Arial" w:cs="Arial"/>
          <w:color w:val="000000"/>
          <w:sz w:val="18"/>
          <w:szCs w:val="16"/>
        </w:rPr>
        <w:t xml:space="preserve"> business.</w:t>
      </w:r>
    </w:p>
    <w:p w:rsidR="0046603F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46603F" w:rsidRPr="004D522B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4D522B">
        <w:rPr>
          <w:rFonts w:ascii="Arial" w:hAnsi="Arial" w:cs="Arial"/>
          <w:color w:val="000000"/>
        </w:rPr>
        <w:t>he Group achieved a 15% increase in total operating profits, to RM624.82 million as compared to RM543.44 million (</w:t>
      </w:r>
      <w:r>
        <w:rPr>
          <w:rFonts w:ascii="Arial" w:hAnsi="Arial" w:cs="Arial"/>
          <w:color w:val="000000"/>
        </w:rPr>
        <w:t xml:space="preserve">excluding </w:t>
      </w:r>
      <w:r w:rsidRPr="004D522B">
        <w:rPr>
          <w:rFonts w:ascii="Arial" w:hAnsi="Arial" w:cs="Arial"/>
          <w:color w:val="000000"/>
        </w:rPr>
        <w:t xml:space="preserve"> exceptional items) in the preceding financial year. The increase in operating profits </w:t>
      </w:r>
      <w:r>
        <w:rPr>
          <w:rFonts w:ascii="Arial" w:hAnsi="Arial" w:cs="Arial"/>
          <w:color w:val="000000"/>
        </w:rPr>
        <w:t xml:space="preserve">is </w:t>
      </w:r>
      <w:r w:rsidRPr="004D522B">
        <w:rPr>
          <w:rFonts w:ascii="Arial" w:hAnsi="Arial" w:cs="Arial"/>
          <w:color w:val="000000"/>
        </w:rPr>
        <w:t xml:space="preserve">attributed to better performance across all sectors of the Group. </w:t>
      </w:r>
    </w:p>
    <w:p w:rsidR="0046603F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46603F" w:rsidRPr="004D522B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  <w:r w:rsidRPr="004D522B">
        <w:rPr>
          <w:rFonts w:ascii="Arial" w:hAnsi="Arial" w:cs="Arial"/>
          <w:color w:val="000000"/>
        </w:rPr>
        <w:t xml:space="preserve">For the </w:t>
      </w:r>
      <w:r>
        <w:rPr>
          <w:rFonts w:ascii="Arial" w:hAnsi="Arial" w:cs="Arial"/>
          <w:color w:val="000000"/>
        </w:rPr>
        <w:t xml:space="preserve">fourth </w:t>
      </w:r>
      <w:r w:rsidRPr="004D522B">
        <w:rPr>
          <w:rFonts w:ascii="Arial" w:hAnsi="Arial" w:cs="Arial"/>
          <w:color w:val="000000"/>
        </w:rPr>
        <w:t>quarter ended 31 March 2013, the Group recorded</w:t>
      </w:r>
      <w:r>
        <w:rPr>
          <w:rFonts w:ascii="Arial" w:hAnsi="Arial" w:cs="Arial"/>
          <w:color w:val="000000"/>
        </w:rPr>
        <w:t xml:space="preserve"> stronger</w:t>
      </w:r>
      <w:r w:rsidRPr="004D522B">
        <w:rPr>
          <w:rFonts w:ascii="Arial" w:hAnsi="Arial" w:cs="Arial"/>
          <w:color w:val="000000"/>
        </w:rPr>
        <w:t xml:space="preserve"> operating profit</w:t>
      </w:r>
      <w:r>
        <w:rPr>
          <w:rFonts w:ascii="Arial" w:hAnsi="Arial" w:cs="Arial"/>
          <w:color w:val="000000"/>
        </w:rPr>
        <w:t>s</w:t>
      </w:r>
      <w:r w:rsidRPr="004D522B">
        <w:rPr>
          <w:rFonts w:ascii="Arial" w:hAnsi="Arial" w:cs="Arial"/>
          <w:color w:val="000000"/>
        </w:rPr>
        <w:t xml:space="preserve"> of RM</w:t>
      </w:r>
      <w:r w:rsidRPr="009550F1">
        <w:rPr>
          <w:rFonts w:ascii="Arial" w:hAnsi="Arial" w:cs="Arial"/>
          <w:color w:val="000000"/>
        </w:rPr>
        <w:t>314.2</w:t>
      </w:r>
      <w:r>
        <w:rPr>
          <w:rFonts w:ascii="Arial" w:hAnsi="Arial" w:cs="Arial"/>
          <w:color w:val="000000"/>
        </w:rPr>
        <w:t xml:space="preserve"> million from</w:t>
      </w:r>
      <w:r w:rsidRPr="004D522B">
        <w:rPr>
          <w:rFonts w:ascii="Arial" w:hAnsi="Arial" w:cs="Arial"/>
          <w:color w:val="000000"/>
        </w:rPr>
        <w:t xml:space="preserve"> RM</w:t>
      </w:r>
      <w:r>
        <w:rPr>
          <w:rFonts w:ascii="Arial" w:hAnsi="Arial" w:cs="Arial"/>
          <w:color w:val="000000"/>
        </w:rPr>
        <w:t>117.9 million</w:t>
      </w:r>
      <w:r w:rsidRPr="004D522B">
        <w:rPr>
          <w:rFonts w:ascii="Arial" w:hAnsi="Arial" w:cs="Arial"/>
          <w:color w:val="000000"/>
        </w:rPr>
        <w:t xml:space="preserve"> recorded in the corres</w:t>
      </w:r>
      <w:r>
        <w:rPr>
          <w:rFonts w:ascii="Arial" w:hAnsi="Arial" w:cs="Arial"/>
          <w:color w:val="000000"/>
        </w:rPr>
        <w:t>ponding quarter of the previous</w:t>
      </w:r>
      <w:r w:rsidRPr="004D522B">
        <w:rPr>
          <w:rFonts w:ascii="Arial" w:hAnsi="Arial" w:cs="Arial"/>
          <w:color w:val="000000"/>
        </w:rPr>
        <w:t xml:space="preserve"> financial year. </w:t>
      </w:r>
      <w:r>
        <w:rPr>
          <w:rFonts w:ascii="Arial" w:hAnsi="Arial" w:cs="Arial"/>
          <w:color w:val="000000"/>
        </w:rPr>
        <w:tab/>
        <w:t xml:space="preserve"> </w:t>
      </w:r>
    </w:p>
    <w:p w:rsidR="0046603F" w:rsidRPr="004D522B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46603F" w:rsidRPr="004D522B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4D522B">
        <w:rPr>
          <w:rFonts w:ascii="Arial" w:hAnsi="Arial" w:cs="Arial"/>
          <w:color w:val="000000"/>
          <w:kern w:val="1"/>
          <w:lang w:eastAsia="hi-IN" w:bidi="hi-IN"/>
        </w:rPr>
        <w:t xml:space="preserve">DRB-HICOM’s Group Managing Director, Dato’ Sri Haji Mohd Khamil Jamil said, “The Group will continue harnessing </w:t>
      </w:r>
      <w:r>
        <w:rPr>
          <w:rFonts w:ascii="Arial" w:hAnsi="Arial" w:cs="Arial"/>
          <w:color w:val="000000"/>
          <w:kern w:val="1"/>
          <w:lang w:eastAsia="hi-IN" w:bidi="hi-IN"/>
        </w:rPr>
        <w:t>its</w:t>
      </w:r>
      <w:r w:rsidRPr="004D522B">
        <w:rPr>
          <w:rFonts w:ascii="Arial" w:hAnsi="Arial" w:cs="Arial"/>
          <w:color w:val="000000"/>
          <w:kern w:val="1"/>
          <w:lang w:eastAsia="hi-IN" w:bidi="hi-IN"/>
        </w:rPr>
        <w:t xml:space="preserve"> diversity to enhance and strengthen the overall financial and operational performances.”</w:t>
      </w:r>
    </w:p>
    <w:p w:rsidR="0046603F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46603F" w:rsidRPr="004D522B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4D522B">
        <w:rPr>
          <w:rFonts w:ascii="Arial" w:hAnsi="Arial" w:cs="Arial"/>
          <w:color w:val="000000"/>
          <w:kern w:val="1"/>
          <w:lang w:eastAsia="hi-IN" w:bidi="hi-IN"/>
        </w:rPr>
        <w:t xml:space="preserve">He further added that although the Automotive sector is important to the Group, but it is not entirely dependent on a single sector, reiterating that the Group is able to leverage on </w:t>
      </w:r>
      <w:r>
        <w:rPr>
          <w:rFonts w:ascii="Arial" w:hAnsi="Arial" w:cs="Arial"/>
          <w:color w:val="000000"/>
          <w:kern w:val="1"/>
          <w:lang w:eastAsia="hi-IN" w:bidi="hi-IN"/>
        </w:rPr>
        <w:t xml:space="preserve">PAC and </w:t>
      </w:r>
      <w:r w:rsidRPr="004D522B">
        <w:rPr>
          <w:rFonts w:ascii="Arial" w:hAnsi="Arial" w:cs="Arial"/>
          <w:color w:val="000000"/>
          <w:kern w:val="1"/>
          <w:lang w:eastAsia="hi-IN" w:bidi="hi-IN"/>
        </w:rPr>
        <w:t xml:space="preserve">Services sectors to provide </w:t>
      </w:r>
      <w:r>
        <w:rPr>
          <w:rFonts w:ascii="Arial" w:hAnsi="Arial" w:cs="Arial"/>
          <w:color w:val="000000"/>
          <w:kern w:val="1"/>
          <w:lang w:eastAsia="hi-IN" w:bidi="hi-IN"/>
        </w:rPr>
        <w:t>consistent</w:t>
      </w:r>
      <w:r w:rsidRPr="004D522B">
        <w:rPr>
          <w:rFonts w:ascii="Arial" w:hAnsi="Arial" w:cs="Arial"/>
          <w:color w:val="000000"/>
          <w:kern w:val="1"/>
          <w:lang w:eastAsia="hi-IN" w:bidi="hi-IN"/>
        </w:rPr>
        <w:t xml:space="preserve"> earnings to drive the Group</w:t>
      </w:r>
      <w:r>
        <w:rPr>
          <w:rFonts w:ascii="Arial" w:hAnsi="Arial" w:cs="Arial"/>
          <w:color w:val="000000"/>
          <w:kern w:val="1"/>
          <w:lang w:eastAsia="hi-IN" w:bidi="hi-IN"/>
        </w:rPr>
        <w:t>’s</w:t>
      </w:r>
      <w:r w:rsidRPr="004D522B">
        <w:rPr>
          <w:rFonts w:ascii="Arial" w:hAnsi="Arial" w:cs="Arial"/>
          <w:color w:val="000000"/>
          <w:kern w:val="1"/>
          <w:lang w:eastAsia="hi-IN" w:bidi="hi-IN"/>
        </w:rPr>
        <w:t xml:space="preserve"> growth for the future, as evident in the financial performance.”</w:t>
      </w:r>
    </w:p>
    <w:p w:rsidR="0046603F" w:rsidRPr="004D522B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46603F" w:rsidRPr="004D522B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 the 12 months, the </w:t>
      </w:r>
      <w:r w:rsidRPr="004D522B">
        <w:rPr>
          <w:rFonts w:ascii="Arial" w:hAnsi="Arial" w:cs="Arial"/>
          <w:color w:val="000000"/>
        </w:rPr>
        <w:t>Group’s net asset</w:t>
      </w:r>
      <w:r>
        <w:rPr>
          <w:rFonts w:ascii="Arial" w:hAnsi="Arial" w:cs="Arial"/>
          <w:color w:val="000000"/>
        </w:rPr>
        <w:t>s</w:t>
      </w:r>
      <w:r w:rsidRPr="004D522B">
        <w:rPr>
          <w:rFonts w:ascii="Arial" w:hAnsi="Arial" w:cs="Arial"/>
          <w:color w:val="000000"/>
        </w:rPr>
        <w:t xml:space="preserve"> per share has improved to RM3.67 </w:t>
      </w:r>
      <w:r>
        <w:rPr>
          <w:rFonts w:ascii="Arial" w:hAnsi="Arial" w:cs="Arial"/>
          <w:color w:val="000000"/>
        </w:rPr>
        <w:t>as at 31 March 2013</w:t>
      </w:r>
      <w:r w:rsidRPr="009550F1">
        <w:rPr>
          <w:rFonts w:ascii="Arial" w:hAnsi="Arial" w:cs="Arial"/>
          <w:color w:val="000000"/>
        </w:rPr>
        <w:t xml:space="preserve">, </w:t>
      </w:r>
      <w:r w:rsidRPr="004D522B">
        <w:rPr>
          <w:rFonts w:ascii="Arial" w:hAnsi="Arial" w:cs="Arial"/>
          <w:color w:val="000000"/>
        </w:rPr>
        <w:t xml:space="preserve">from RM3.39 </w:t>
      </w:r>
      <w:r>
        <w:rPr>
          <w:rFonts w:ascii="Arial" w:hAnsi="Arial" w:cs="Arial"/>
          <w:color w:val="000000"/>
        </w:rPr>
        <w:t>last</w:t>
      </w:r>
      <w:r w:rsidRPr="004D522B">
        <w:rPr>
          <w:rFonts w:ascii="Arial" w:hAnsi="Arial" w:cs="Arial"/>
          <w:color w:val="000000"/>
        </w:rPr>
        <w:t xml:space="preserve"> year.</w:t>
      </w:r>
    </w:p>
    <w:p w:rsidR="0046603F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46603F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46603F" w:rsidRPr="004D522B" w:rsidRDefault="0046603F" w:rsidP="007A1FC8">
      <w:pPr>
        <w:suppressAutoHyphens/>
        <w:spacing w:before="28" w:after="28" w:line="480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46603F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46603F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  <w:r w:rsidRPr="004D522B">
        <w:rPr>
          <w:rFonts w:ascii="Arial" w:hAnsi="Arial" w:cs="Arial"/>
          <w:color w:val="000000"/>
        </w:rPr>
        <w:t xml:space="preserve">The Group is also proposing a final dividend of 4.5 sen (as compared to 4.0 sen </w:t>
      </w:r>
    </w:p>
    <w:p w:rsidR="0046603F" w:rsidRDefault="0046603F" w:rsidP="007A1FC8">
      <w:pPr>
        <w:spacing w:line="480" w:lineRule="auto"/>
        <w:jc w:val="both"/>
        <w:rPr>
          <w:rFonts w:ascii="Arial" w:hAnsi="Arial" w:cs="Arial"/>
          <w:color w:val="000000"/>
        </w:rPr>
      </w:pPr>
      <w:r w:rsidRPr="004D522B">
        <w:rPr>
          <w:rFonts w:ascii="Arial" w:hAnsi="Arial" w:cs="Arial"/>
          <w:color w:val="000000"/>
        </w:rPr>
        <w:t xml:space="preserve">in 2012 less taxation of 25%), comprising of 0.5 sen gross per share less taxation of 25% and tax exempt dividend of 4.0 sen for FY ended 31 </w:t>
      </w:r>
      <w:r>
        <w:rPr>
          <w:rFonts w:ascii="Arial" w:hAnsi="Arial" w:cs="Arial"/>
          <w:color w:val="000000"/>
        </w:rPr>
        <w:t>M</w:t>
      </w:r>
      <w:r w:rsidRPr="004D522B">
        <w:rPr>
          <w:rFonts w:ascii="Arial" w:hAnsi="Arial" w:cs="Arial"/>
          <w:color w:val="000000"/>
        </w:rPr>
        <w:t>arch 2013. The total dividend for the financial year ended 31 March 2013</w:t>
      </w:r>
      <w:r>
        <w:rPr>
          <w:rFonts w:ascii="Arial" w:hAnsi="Arial" w:cs="Arial"/>
          <w:color w:val="000000"/>
        </w:rPr>
        <w:t xml:space="preserve"> therefore is 6.0 sen per share,</w:t>
      </w:r>
      <w:r w:rsidRPr="004D52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which </w:t>
      </w:r>
      <w:r w:rsidRPr="004D522B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 xml:space="preserve">equivalent to a payout of </w:t>
      </w:r>
      <w:r w:rsidRPr="004D522B">
        <w:rPr>
          <w:rFonts w:ascii="Arial" w:hAnsi="Arial" w:cs="Arial"/>
          <w:color w:val="000000"/>
        </w:rPr>
        <w:t>RM106.3 million as compared to RM87.0 million in the previous financial year.</w:t>
      </w:r>
    </w:p>
    <w:p w:rsidR="0046603F" w:rsidRPr="004D522B" w:rsidRDefault="0046603F" w:rsidP="007A1FC8">
      <w:pPr>
        <w:suppressAutoHyphens/>
        <w:spacing w:before="28" w:after="28" w:line="360" w:lineRule="auto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4D522B">
        <w:rPr>
          <w:rFonts w:ascii="Arial" w:hAnsi="Arial" w:cs="Arial"/>
          <w:color w:val="000000"/>
          <w:kern w:val="1"/>
          <w:lang w:eastAsia="hi-IN" w:bidi="hi-IN"/>
        </w:rPr>
        <w:t>-Ends-</w:t>
      </w:r>
    </w:p>
    <w:p w:rsidR="0046603F" w:rsidRPr="006B5688" w:rsidRDefault="0046603F" w:rsidP="007A1FC8">
      <w:pPr>
        <w:pBdr>
          <w:bottom w:val="single" w:sz="12" w:space="1" w:color="auto"/>
        </w:pBdr>
        <w:suppressAutoHyphens/>
        <w:spacing w:before="28" w:after="28" w:line="360" w:lineRule="auto"/>
        <w:jc w:val="center"/>
        <w:rPr>
          <w:rFonts w:ascii="Arial" w:hAnsi="Arial" w:cs="Arial"/>
          <w:color w:val="000000"/>
          <w:kern w:val="1"/>
          <w:lang w:eastAsia="hi-IN" w:bidi="hi-IN"/>
        </w:rPr>
      </w:pPr>
    </w:p>
    <w:p w:rsidR="0046603F" w:rsidRDefault="0046603F" w:rsidP="007A1FC8">
      <w:pPr>
        <w:suppressAutoHyphens/>
        <w:spacing w:before="28" w:after="28"/>
        <w:jc w:val="both"/>
        <w:rPr>
          <w:rFonts w:ascii="Arial" w:hAnsi="Arial" w:cs="Arial"/>
          <w:b/>
          <w:bCs/>
          <w:i/>
          <w:iCs/>
          <w:kern w:val="1"/>
          <w:lang w:val="en-GB" w:eastAsia="hi-IN" w:bidi="hi-IN"/>
        </w:rPr>
      </w:pPr>
    </w:p>
    <w:p w:rsidR="0046603F" w:rsidRPr="004D522B" w:rsidRDefault="0046603F" w:rsidP="007A1FC8">
      <w:pPr>
        <w:suppressAutoHyphens/>
        <w:spacing w:before="28" w:after="28"/>
        <w:jc w:val="both"/>
        <w:rPr>
          <w:rFonts w:ascii="Arial" w:hAnsi="Arial" w:cs="Arial"/>
          <w:i/>
          <w:iCs/>
          <w:kern w:val="1"/>
          <w:lang w:val="en-GB" w:eastAsia="hi-IN" w:bidi="hi-IN"/>
        </w:rPr>
      </w:pPr>
      <w:r w:rsidRPr="009F4BF3">
        <w:rPr>
          <w:rFonts w:ascii="Arial" w:hAnsi="Arial" w:cs="Arial"/>
          <w:b/>
          <w:bCs/>
          <w:i/>
          <w:iCs/>
          <w:kern w:val="1"/>
          <w:sz w:val="22"/>
          <w:szCs w:val="22"/>
          <w:lang w:val="en-GB" w:eastAsia="hi-IN" w:bidi="hi-IN"/>
        </w:rPr>
        <w:t>DRB-HICOM Berhad</w:t>
      </w:r>
      <w:r w:rsidRPr="009F4BF3">
        <w:rPr>
          <w:rFonts w:ascii="Arial" w:hAnsi="Arial" w:cs="Arial"/>
          <w:b/>
          <w:i/>
          <w:iCs/>
          <w:kern w:val="1"/>
          <w:sz w:val="22"/>
          <w:szCs w:val="22"/>
          <w:lang w:val="en-GB" w:eastAsia="hi-IN" w:bidi="hi-IN"/>
        </w:rPr>
        <w:t xml:space="preserve"> (“DRB-HICOM”)</w:t>
      </w:r>
      <w:r w:rsidRPr="009F4BF3">
        <w:rPr>
          <w:rFonts w:ascii="Arial" w:hAnsi="Arial" w:cs="Arial"/>
          <w:i/>
          <w:iCs/>
          <w:kern w:val="1"/>
          <w:sz w:val="22"/>
          <w:szCs w:val="22"/>
          <w:lang w:val="en-GB" w:eastAsia="hi-IN" w:bidi="hi-IN"/>
        </w:rPr>
        <w:t xml:space="preserve"> is one of Malaysia’s leading conglomerates with core businesses in the Automotive; Services; and Property, Asset &amp; Construction sectors. With more than 80 active companies in its stable and over 52,000 employees group-wide, DRB-HICOM’s aim is to continue adding value and propelling the nation’s development. In the Automotive sector, DRB-HICOM is involved in the manufacturing, assembly and distribution of passenger and commercial vehicles, including the national motorcycle. In Services, DRB-HICOM is involved in various businesses, including concession and financial-related services. In Property, Asset &amp; Construction, DRB-HICOM is involved in residential and commercial developments</w:t>
      </w:r>
      <w:r w:rsidRPr="004D522B">
        <w:rPr>
          <w:rFonts w:ascii="Arial" w:hAnsi="Arial" w:cs="Arial"/>
          <w:i/>
          <w:iCs/>
          <w:kern w:val="1"/>
          <w:lang w:val="en-GB" w:eastAsia="hi-IN" w:bidi="hi-IN"/>
        </w:rPr>
        <w:t>.</w:t>
      </w:r>
    </w:p>
    <w:p w:rsidR="0046603F" w:rsidRDefault="0046603F" w:rsidP="007A1FC8">
      <w:pPr>
        <w:suppressAutoHyphens/>
        <w:spacing w:before="28" w:after="28" w:line="360" w:lineRule="auto"/>
        <w:rPr>
          <w:rFonts w:ascii="Arial" w:hAnsi="Arial" w:cs="Arial"/>
          <w:lang w:val="en-GB"/>
        </w:rPr>
      </w:pPr>
    </w:p>
    <w:p w:rsidR="0046603F" w:rsidRDefault="0046603F" w:rsidP="007A1FC8">
      <w:pPr>
        <w:suppressAutoHyphens/>
        <w:spacing w:before="28" w:after="28" w:line="360" w:lineRule="auto"/>
        <w:rPr>
          <w:rFonts w:ascii="Arial" w:hAnsi="Arial" w:cs="Arial"/>
          <w:lang w:val="en-GB"/>
        </w:rPr>
      </w:pPr>
    </w:p>
    <w:p w:rsidR="0046603F" w:rsidRPr="004D522B" w:rsidRDefault="0046603F" w:rsidP="007A1FC8">
      <w:pPr>
        <w:suppressAutoHyphens/>
        <w:ind w:right="-284"/>
        <w:jc w:val="both"/>
        <w:rPr>
          <w:rFonts w:ascii="Arial" w:hAnsi="Arial" w:cs="Arial"/>
          <w:b/>
          <w:kern w:val="1"/>
          <w:u w:val="single"/>
          <w:lang w:eastAsia="hi-IN" w:bidi="hi-IN"/>
        </w:rPr>
      </w:pPr>
      <w:r w:rsidRPr="004D522B">
        <w:rPr>
          <w:rFonts w:ascii="Arial" w:hAnsi="Arial" w:cs="Arial"/>
          <w:b/>
          <w:kern w:val="1"/>
          <w:u w:val="single"/>
          <w:lang w:eastAsia="hi-IN" w:bidi="hi-IN"/>
        </w:rPr>
        <w:t>For further information, please contact:</w:t>
      </w:r>
    </w:p>
    <w:p w:rsidR="0046603F" w:rsidRPr="004D522B" w:rsidRDefault="0046603F" w:rsidP="007A1FC8">
      <w:pPr>
        <w:suppressAutoHyphens/>
        <w:ind w:right="-284"/>
        <w:jc w:val="both"/>
        <w:rPr>
          <w:rFonts w:ascii="Arial" w:hAnsi="Arial" w:cs="Arial"/>
          <w:kern w:val="1"/>
          <w:lang w:eastAsia="hi-IN" w:bidi="hi-IN"/>
        </w:rPr>
      </w:pPr>
    </w:p>
    <w:p w:rsidR="0046603F" w:rsidRPr="004D522B" w:rsidRDefault="0046603F" w:rsidP="007A1FC8">
      <w:pPr>
        <w:widowControl w:val="0"/>
        <w:suppressAutoHyphens/>
        <w:spacing w:line="100" w:lineRule="atLeast"/>
        <w:ind w:right="-284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Sulaiman Yahya</w:t>
      </w:r>
    </w:p>
    <w:p w:rsidR="0046603F" w:rsidRPr="004D522B" w:rsidRDefault="0046603F" w:rsidP="007A1FC8">
      <w:pPr>
        <w:widowControl w:val="0"/>
        <w:suppressAutoHyphens/>
        <w:spacing w:line="100" w:lineRule="atLeast"/>
        <w:ind w:right="-284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Head of Corporate Communications Division</w:t>
      </w:r>
    </w:p>
    <w:p w:rsidR="0046603F" w:rsidRPr="004D522B" w:rsidRDefault="0046603F" w:rsidP="007A1FC8">
      <w:pPr>
        <w:widowControl w:val="0"/>
        <w:suppressAutoHyphens/>
        <w:spacing w:line="100" w:lineRule="atLeast"/>
        <w:ind w:right="-284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DRB-HICOM Berhad</w:t>
      </w:r>
    </w:p>
    <w:p w:rsidR="0046603F" w:rsidRPr="004D522B" w:rsidRDefault="0046603F" w:rsidP="007A1FC8">
      <w:pPr>
        <w:widowControl w:val="0"/>
        <w:suppressAutoHyphens/>
        <w:spacing w:line="100" w:lineRule="atLeast"/>
        <w:ind w:right="-284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 xml:space="preserve">Tel: 03-20528238 </w:t>
      </w:r>
    </w:p>
    <w:p w:rsidR="0046603F" w:rsidRPr="004D522B" w:rsidRDefault="0046603F" w:rsidP="007A1FC8">
      <w:pPr>
        <w:widowControl w:val="0"/>
        <w:suppressAutoHyphens/>
        <w:spacing w:line="100" w:lineRule="atLeast"/>
        <w:ind w:right="-284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HP: 013-3415214</w:t>
      </w:r>
    </w:p>
    <w:p w:rsidR="0046603F" w:rsidRPr="004D522B" w:rsidRDefault="0046603F" w:rsidP="007A1FC8">
      <w:pPr>
        <w:widowControl w:val="0"/>
        <w:suppressAutoHyphens/>
        <w:spacing w:line="100" w:lineRule="atLeast"/>
        <w:ind w:right="-284"/>
        <w:jc w:val="both"/>
        <w:rPr>
          <w:rFonts w:ascii="Arial" w:hAnsi="Arial" w:cs="Arial"/>
          <w:kern w:val="1"/>
          <w:lang w:val="en-GB" w:eastAsia="hi-IN" w:bidi="hi-IN"/>
        </w:rPr>
      </w:pPr>
      <w:hyperlink r:id="rId7" w:history="1">
        <w:r w:rsidRPr="004D522B">
          <w:rPr>
            <w:rFonts w:ascii="Arial" w:hAnsi="Arial" w:cs="Arial"/>
            <w:color w:val="0000FF"/>
            <w:kern w:val="1"/>
            <w:u w:val="single"/>
          </w:rPr>
          <w:t>www.drb-hicom.com</w:t>
        </w:r>
      </w:hyperlink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Yang Latiffa Ahmad Kamily</w:t>
      </w:r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Corporate Communications Division</w:t>
      </w:r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DRB-HICOM Berhad</w:t>
      </w:r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Tel: 03-20528120</w:t>
      </w:r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  <w:r w:rsidRPr="004D522B">
        <w:rPr>
          <w:rFonts w:ascii="Arial" w:hAnsi="Arial" w:cs="Arial"/>
          <w:kern w:val="1"/>
          <w:lang w:val="en-GB" w:eastAsia="hi-IN" w:bidi="hi-IN"/>
        </w:rPr>
        <w:t>HP: 012-2918691</w:t>
      </w:r>
    </w:p>
    <w:p w:rsidR="0046603F" w:rsidRPr="004D522B" w:rsidRDefault="0046603F" w:rsidP="007A1FC8">
      <w:pPr>
        <w:widowControl w:val="0"/>
        <w:suppressAutoHyphens/>
        <w:spacing w:line="100" w:lineRule="atLeast"/>
        <w:jc w:val="both"/>
        <w:rPr>
          <w:rFonts w:ascii="Arial" w:hAnsi="Arial" w:cs="Arial"/>
          <w:kern w:val="1"/>
          <w:lang w:val="en-GB" w:eastAsia="hi-IN" w:bidi="hi-IN"/>
        </w:rPr>
      </w:pPr>
      <w:hyperlink r:id="rId8" w:history="1">
        <w:r w:rsidRPr="00043905">
          <w:rPr>
            <w:rFonts w:ascii="Arial" w:hAnsi="Arial" w:cs="Arial"/>
            <w:color w:val="0000FF"/>
            <w:kern w:val="1"/>
            <w:u w:val="single"/>
          </w:rPr>
          <w:t>www.drb-hicom.com</w:t>
        </w:r>
      </w:hyperlink>
    </w:p>
    <w:p w:rsidR="0046603F" w:rsidRPr="007A1FC8" w:rsidRDefault="0046603F" w:rsidP="007A1FC8">
      <w:pPr>
        <w:rPr>
          <w:lang w:val="en-GB"/>
        </w:rPr>
      </w:pPr>
    </w:p>
    <w:sectPr w:rsidR="0046603F" w:rsidRPr="007A1FC8" w:rsidSect="00A371CF">
      <w:headerReference w:type="default" r:id="rId9"/>
      <w:footerReference w:type="even" r:id="rId10"/>
      <w:footerReference w:type="default" r:id="rId11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3F" w:rsidRDefault="0046603F">
      <w:r>
        <w:separator/>
      </w:r>
    </w:p>
  </w:endnote>
  <w:endnote w:type="continuationSeparator" w:id="0">
    <w:p w:rsidR="0046603F" w:rsidRDefault="0046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3F" w:rsidRDefault="00466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03F" w:rsidRDefault="004660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3F" w:rsidRDefault="00466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603F" w:rsidRDefault="004660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3F" w:rsidRDefault="0046603F">
      <w:r>
        <w:separator/>
      </w:r>
    </w:p>
  </w:footnote>
  <w:footnote w:type="continuationSeparator" w:id="0">
    <w:p w:rsidR="0046603F" w:rsidRDefault="0046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3F" w:rsidRDefault="0046603F">
    <w:pPr>
      <w:pStyle w:val="Header"/>
      <w:jc w:val="right"/>
    </w:pPr>
    <w:r w:rsidRPr="003F4E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drbmember11" style="width:113.25pt;height:32.25pt;visibility:visible">
          <v:imagedata r:id="rId1" o:title="" croptop="2346f" cropleft="340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B1C"/>
    <w:multiLevelType w:val="hybridMultilevel"/>
    <w:tmpl w:val="758CEB4C"/>
    <w:lvl w:ilvl="0" w:tplc="BFCC672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1CF"/>
    <w:rsid w:val="00043905"/>
    <w:rsid w:val="00050EC1"/>
    <w:rsid w:val="0012729B"/>
    <w:rsid w:val="00226704"/>
    <w:rsid w:val="00235F6B"/>
    <w:rsid w:val="002537FE"/>
    <w:rsid w:val="00253B90"/>
    <w:rsid w:val="002E2A44"/>
    <w:rsid w:val="00354C6D"/>
    <w:rsid w:val="003F4EEF"/>
    <w:rsid w:val="0041333F"/>
    <w:rsid w:val="004530A3"/>
    <w:rsid w:val="004618E9"/>
    <w:rsid w:val="0046603F"/>
    <w:rsid w:val="0046783E"/>
    <w:rsid w:val="004D522B"/>
    <w:rsid w:val="00574A83"/>
    <w:rsid w:val="006945DC"/>
    <w:rsid w:val="006B5688"/>
    <w:rsid w:val="006B740D"/>
    <w:rsid w:val="00776265"/>
    <w:rsid w:val="007A1FC8"/>
    <w:rsid w:val="00843FD4"/>
    <w:rsid w:val="00875A91"/>
    <w:rsid w:val="008F07EA"/>
    <w:rsid w:val="00947697"/>
    <w:rsid w:val="009550F1"/>
    <w:rsid w:val="009F4BF3"/>
    <w:rsid w:val="00A10600"/>
    <w:rsid w:val="00A371CF"/>
    <w:rsid w:val="00B23574"/>
    <w:rsid w:val="00B71FE3"/>
    <w:rsid w:val="00B91D9E"/>
    <w:rsid w:val="00BC311B"/>
    <w:rsid w:val="00C11079"/>
    <w:rsid w:val="00C802B2"/>
    <w:rsid w:val="00D51990"/>
    <w:rsid w:val="00D63D7E"/>
    <w:rsid w:val="00E11C01"/>
    <w:rsid w:val="00E42DF4"/>
    <w:rsid w:val="00F031D7"/>
    <w:rsid w:val="00FA220B"/>
    <w:rsid w:val="00FC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1CF"/>
    <w:pPr>
      <w:keepNext/>
      <w:spacing w:line="360" w:lineRule="auto"/>
      <w:outlineLvl w:val="0"/>
    </w:pPr>
    <w:rPr>
      <w:rFonts w:ascii="Arial" w:hAnsi="Arial" w:cs="Arial"/>
      <w:sz w:val="36"/>
      <w:szCs w:val="1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1CF"/>
    <w:rPr>
      <w:rFonts w:ascii="Arial" w:hAnsi="Arial"/>
      <w:sz w:val="11"/>
      <w:lang w:val="en-US" w:eastAsia="en-US"/>
    </w:rPr>
  </w:style>
  <w:style w:type="character" w:styleId="Strong">
    <w:name w:val="Strong"/>
    <w:basedOn w:val="DefaultParagraphFont"/>
    <w:uiPriority w:val="99"/>
    <w:qFormat/>
    <w:rsid w:val="00A371CF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A37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9A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371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7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A8"/>
    <w:rPr>
      <w:sz w:val="24"/>
      <w:szCs w:val="24"/>
    </w:rPr>
  </w:style>
  <w:style w:type="paragraph" w:customStyle="1" w:styleId="short-spacing">
    <w:name w:val="short-spacing"/>
    <w:basedOn w:val="Normal"/>
    <w:uiPriority w:val="99"/>
    <w:rsid w:val="00A371CF"/>
    <w:pPr>
      <w:spacing w:after="90" w:line="270" w:lineRule="atLeast"/>
    </w:pPr>
    <w:rPr>
      <w:rFonts w:ascii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947697"/>
    <w:pPr>
      <w:widowControl w:val="0"/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7697"/>
    <w:rPr>
      <w:rFonts w:ascii="Arial" w:hAnsi="Arial"/>
      <w:sz w:val="24"/>
      <w:lang w:val="en-US" w:eastAsia="en-US"/>
    </w:rPr>
  </w:style>
  <w:style w:type="character" w:customStyle="1" w:styleId="hps">
    <w:name w:val="hps"/>
    <w:basedOn w:val="DefaultParagraphFont"/>
    <w:uiPriority w:val="99"/>
    <w:rsid w:val="00947697"/>
    <w:rPr>
      <w:rFonts w:cs="Times New Roman"/>
    </w:rPr>
  </w:style>
  <w:style w:type="character" w:customStyle="1" w:styleId="CharChar1">
    <w:name w:val="Char Char1"/>
    <w:uiPriority w:val="99"/>
    <w:locked/>
    <w:rsid w:val="00FC3C59"/>
    <w:rPr>
      <w:rFonts w:ascii="Arial" w:hAnsi="Arial"/>
      <w:sz w:val="11"/>
      <w:lang w:val="en-US" w:eastAsia="en-US"/>
    </w:rPr>
  </w:style>
  <w:style w:type="table" w:styleId="TableGrid">
    <w:name w:val="Table Grid"/>
    <w:basedOn w:val="TableNormal"/>
    <w:uiPriority w:val="99"/>
    <w:rsid w:val="007A1F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F4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B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-hico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b-hico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593</Words>
  <Characters>3382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PRESS RELEASE ON Q1 FY 2013 RESULTS</dc:title>
  <dc:subject/>
  <dc:creator>Nadirah Haridan</dc:creator>
  <cp:keywords/>
  <dc:description/>
  <cp:lastModifiedBy>Bursa</cp:lastModifiedBy>
  <cp:revision>2</cp:revision>
  <cp:lastPrinted>2012-08-27T10:44:00Z</cp:lastPrinted>
  <dcterms:created xsi:type="dcterms:W3CDTF">2013-05-30T04:29:00Z</dcterms:created>
  <dcterms:modified xsi:type="dcterms:W3CDTF">2013-05-30T04:29:00Z</dcterms:modified>
</cp:coreProperties>
</file>